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B81" w:rsidRDefault="00574B81" w:rsidP="00574B81">
      <w:pPr>
        <w:jc w:val="center"/>
        <w:rPr>
          <w:sz w:val="40"/>
        </w:rPr>
      </w:pPr>
      <w:proofErr w:type="spellStart"/>
      <w:r>
        <w:rPr>
          <w:sz w:val="40"/>
        </w:rPr>
        <w:t>musi</w:t>
      </w:r>
      <w:r>
        <w:rPr>
          <w:b/>
          <w:color w:val="FF0000"/>
          <w:sz w:val="40"/>
        </w:rPr>
        <w:t>c</w:t>
      </w:r>
      <w:r>
        <w:rPr>
          <w:sz w:val="40"/>
        </w:rPr>
        <w:t>ontact</w:t>
      </w:r>
      <w:proofErr w:type="spellEnd"/>
    </w:p>
    <w:p w:rsidR="00574B81" w:rsidRDefault="00574B81" w:rsidP="00574B81">
      <w:pPr>
        <w:pStyle w:val="berschrift1"/>
        <w:numPr>
          <w:ilvl w:val="0"/>
          <w:numId w:val="0"/>
        </w:numPr>
        <w:tabs>
          <w:tab w:val="left" w:pos="6096"/>
        </w:tabs>
      </w:pPr>
      <w:r>
        <w:t>EGBERT ZINNER</w:t>
      </w:r>
    </w:p>
    <w:p w:rsidR="00574B81" w:rsidRDefault="00574B81" w:rsidP="00574B81">
      <w:pPr>
        <w:jc w:val="center"/>
        <w:rPr>
          <w:sz w:val="12"/>
          <w:szCs w:val="12"/>
        </w:rPr>
      </w:pPr>
    </w:p>
    <w:p w:rsidR="00574B81" w:rsidRDefault="00574B81" w:rsidP="00574B81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Kirchenallee 27 - 20099 Hamburg – </w:t>
      </w:r>
      <w:proofErr w:type="spellStart"/>
      <w:r>
        <w:rPr>
          <w:rFonts w:ascii="Arial" w:hAnsi="Arial"/>
          <w:sz w:val="22"/>
        </w:rPr>
        <w:t>phone</w:t>
      </w:r>
      <w:proofErr w:type="spellEnd"/>
      <w:r>
        <w:rPr>
          <w:rFonts w:ascii="Arial" w:hAnsi="Arial"/>
          <w:sz w:val="22"/>
        </w:rPr>
        <w:t xml:space="preserve"> 49.40.28052227 – fax 49.40.28052228</w:t>
      </w:r>
    </w:p>
    <w:p w:rsidR="00574B81" w:rsidRDefault="00574B81" w:rsidP="00574B81">
      <w:pPr>
        <w:jc w:val="center"/>
        <w:rPr>
          <w:sz w:val="22"/>
        </w:rPr>
      </w:pPr>
      <w:r>
        <w:rPr>
          <w:rFonts w:ascii="Arial" w:hAnsi="Arial"/>
          <w:sz w:val="22"/>
          <w:lang w:val="it-IT"/>
        </w:rPr>
        <w:t>service@musicontact.de – www.musicontact.de</w:t>
      </w:r>
      <w:r>
        <w:rPr>
          <w:rFonts w:ascii="Arial" w:hAnsi="Arial"/>
          <w:sz w:val="22"/>
          <w:lang w:val="it-IT"/>
        </w:rPr>
        <w:br/>
      </w:r>
      <w:r>
        <w:t>_______________________________________________________________________________________</w:t>
      </w:r>
      <w:r>
        <w:rPr>
          <w:sz w:val="22"/>
        </w:rPr>
        <w:t>___</w:t>
      </w:r>
    </w:p>
    <w:p w:rsidR="00574B81" w:rsidRPr="00574B81" w:rsidRDefault="00574B81" w:rsidP="00574B81">
      <w:pPr>
        <w:pStyle w:val="berschrift2"/>
        <w:numPr>
          <w:ilvl w:val="0"/>
          <w:numId w:val="0"/>
        </w:numPr>
        <w:tabs>
          <w:tab w:val="left" w:pos="708"/>
        </w:tabs>
        <w:spacing w:before="240"/>
        <w:jc w:val="center"/>
        <w:rPr>
          <w:rFonts w:ascii="Calibri" w:hAnsi="Calibri"/>
          <w:smallCaps/>
          <w:color w:val="000000"/>
          <w:sz w:val="24"/>
          <w:szCs w:val="22"/>
        </w:rPr>
      </w:pPr>
      <w:r w:rsidRPr="00574B81">
        <w:rPr>
          <w:rFonts w:ascii="Calibri" w:hAnsi="Calibri"/>
          <w:smallCaps/>
          <w:color w:val="000000"/>
          <w:sz w:val="24"/>
          <w:szCs w:val="22"/>
        </w:rPr>
        <w:t xml:space="preserve">Dezsö </w:t>
      </w:r>
      <w:proofErr w:type="spellStart"/>
      <w:r w:rsidRPr="00574B81">
        <w:rPr>
          <w:rFonts w:ascii="Calibri" w:hAnsi="Calibri"/>
          <w:smallCaps/>
          <w:color w:val="000000"/>
          <w:sz w:val="24"/>
          <w:szCs w:val="22"/>
        </w:rPr>
        <w:t>Ránki</w:t>
      </w:r>
      <w:proofErr w:type="spellEnd"/>
      <w:r w:rsidRPr="00574B81">
        <w:rPr>
          <w:rFonts w:ascii="Calibri" w:hAnsi="Calibri"/>
          <w:smallCaps/>
          <w:color w:val="000000"/>
          <w:sz w:val="24"/>
          <w:szCs w:val="22"/>
        </w:rPr>
        <w:t>, Klavier</w:t>
      </w:r>
    </w:p>
    <w:p w:rsidR="00574B81" w:rsidRPr="00574B81" w:rsidRDefault="00574B81" w:rsidP="00574B81">
      <w:pPr>
        <w:pStyle w:val="Textkrper"/>
        <w:widowControl/>
        <w:spacing w:before="240" w:line="240" w:lineRule="auto"/>
        <w:rPr>
          <w:rFonts w:ascii="Calibri" w:hAnsi="Calibri"/>
          <w:sz w:val="24"/>
          <w:szCs w:val="22"/>
        </w:rPr>
      </w:pPr>
      <w:bookmarkStart w:id="0" w:name="OCRUncertain003"/>
      <w:r w:rsidRPr="00574B81">
        <w:rPr>
          <w:rFonts w:ascii="Calibri" w:hAnsi="Calibri"/>
          <w:sz w:val="24"/>
          <w:szCs w:val="22"/>
        </w:rPr>
        <w:t>Dezsö</w:t>
      </w:r>
      <w:bookmarkEnd w:id="0"/>
      <w:r w:rsidRPr="00574B81">
        <w:rPr>
          <w:rFonts w:ascii="Calibri" w:hAnsi="Calibri"/>
          <w:sz w:val="24"/>
          <w:szCs w:val="22"/>
        </w:rPr>
        <w:t xml:space="preserve"> </w:t>
      </w:r>
      <w:bookmarkStart w:id="1" w:name="OCRUncertain004"/>
      <w:proofErr w:type="spellStart"/>
      <w:r w:rsidRPr="00574B81">
        <w:rPr>
          <w:rFonts w:ascii="Calibri" w:hAnsi="Calibri"/>
          <w:sz w:val="24"/>
          <w:szCs w:val="22"/>
        </w:rPr>
        <w:t>Ránki</w:t>
      </w:r>
      <w:bookmarkEnd w:id="1"/>
      <w:proofErr w:type="spellEnd"/>
      <w:r w:rsidRPr="00574B81">
        <w:rPr>
          <w:rFonts w:ascii="Calibri" w:hAnsi="Calibri"/>
          <w:sz w:val="24"/>
          <w:szCs w:val="22"/>
        </w:rPr>
        <w:t xml:space="preserve">, 1951 in Budapest geboren, zählt zweifelsohne zu den besten ungarischen Pianisten unserer Zeit. Seine internationale Karriere begann noch während seiner Studienzeit an der </w:t>
      </w:r>
      <w:bookmarkStart w:id="2" w:name="OCRUncertain025"/>
      <w:r w:rsidRPr="00574B81">
        <w:rPr>
          <w:rFonts w:ascii="Calibri" w:hAnsi="Calibri"/>
          <w:sz w:val="24"/>
          <w:szCs w:val="22"/>
        </w:rPr>
        <w:t>Budapester</w:t>
      </w:r>
      <w:bookmarkEnd w:id="2"/>
      <w:r w:rsidRPr="00574B81">
        <w:rPr>
          <w:rFonts w:ascii="Calibri" w:hAnsi="Calibri"/>
          <w:sz w:val="24"/>
          <w:szCs w:val="22"/>
        </w:rPr>
        <w:t xml:space="preserve"> Liszt-Akademie bei </w:t>
      </w:r>
      <w:proofErr w:type="spellStart"/>
      <w:r w:rsidRPr="00574B81">
        <w:rPr>
          <w:rFonts w:ascii="Calibri" w:hAnsi="Calibri"/>
          <w:sz w:val="24"/>
          <w:szCs w:val="22"/>
        </w:rPr>
        <w:t>Pál</w:t>
      </w:r>
      <w:proofErr w:type="spellEnd"/>
      <w:r w:rsidRPr="00574B81">
        <w:rPr>
          <w:rFonts w:ascii="Calibri" w:hAnsi="Calibri"/>
          <w:sz w:val="24"/>
          <w:szCs w:val="22"/>
        </w:rPr>
        <w:t xml:space="preserve"> </w:t>
      </w:r>
      <w:bookmarkStart w:id="3" w:name="OCRUncertain026"/>
      <w:proofErr w:type="spellStart"/>
      <w:r w:rsidRPr="00574B81">
        <w:rPr>
          <w:rFonts w:ascii="Calibri" w:hAnsi="Calibri"/>
          <w:sz w:val="24"/>
          <w:szCs w:val="22"/>
        </w:rPr>
        <w:t>Kadosa</w:t>
      </w:r>
      <w:bookmarkEnd w:id="3"/>
      <w:proofErr w:type="spellEnd"/>
      <w:r w:rsidRPr="00574B81">
        <w:rPr>
          <w:rFonts w:ascii="Calibri" w:hAnsi="Calibri"/>
          <w:sz w:val="24"/>
          <w:szCs w:val="22"/>
        </w:rPr>
        <w:t>, als er 1969 den ersten Preis beim Robert-Schumann-Wettbewerb gewann.</w:t>
      </w:r>
    </w:p>
    <w:p w:rsidR="00574B81" w:rsidRPr="00574B81" w:rsidRDefault="00574B81" w:rsidP="00574B81">
      <w:pPr>
        <w:pStyle w:val="Textkrper"/>
        <w:widowControl/>
        <w:spacing w:before="120" w:line="240" w:lineRule="auto"/>
        <w:rPr>
          <w:rFonts w:ascii="Calibri" w:hAnsi="Calibri"/>
          <w:sz w:val="24"/>
          <w:szCs w:val="22"/>
        </w:rPr>
      </w:pPr>
      <w:r w:rsidRPr="00574B81">
        <w:rPr>
          <w:rFonts w:ascii="Calibri" w:hAnsi="Calibri"/>
          <w:sz w:val="24"/>
          <w:szCs w:val="22"/>
        </w:rPr>
        <w:t xml:space="preserve">Bereits früh fiel </w:t>
      </w:r>
      <w:proofErr w:type="spellStart"/>
      <w:r w:rsidRPr="00574B81">
        <w:rPr>
          <w:rFonts w:ascii="Calibri" w:hAnsi="Calibri"/>
          <w:sz w:val="24"/>
          <w:szCs w:val="22"/>
        </w:rPr>
        <w:t>Ránki</w:t>
      </w:r>
      <w:proofErr w:type="spellEnd"/>
      <w:r w:rsidRPr="00574B81">
        <w:rPr>
          <w:rFonts w:ascii="Calibri" w:hAnsi="Calibri"/>
          <w:sz w:val="24"/>
          <w:szCs w:val="22"/>
        </w:rPr>
        <w:t xml:space="preserve"> durch seine erstaunliche </w:t>
      </w:r>
      <w:proofErr w:type="spellStart"/>
      <w:r w:rsidRPr="00574B81">
        <w:rPr>
          <w:rFonts w:ascii="Calibri" w:hAnsi="Calibri"/>
          <w:sz w:val="24"/>
          <w:szCs w:val="22"/>
        </w:rPr>
        <w:t>Pianistik</w:t>
      </w:r>
      <w:proofErr w:type="spellEnd"/>
      <w:r w:rsidRPr="00574B81">
        <w:rPr>
          <w:rFonts w:ascii="Calibri" w:hAnsi="Calibri"/>
          <w:sz w:val="24"/>
          <w:szCs w:val="22"/>
        </w:rPr>
        <w:t xml:space="preserve"> und natürliche Musikalität auf. Sein Spiel gilt als prägnant und klar, rhythmisch robust, </w:t>
      </w:r>
      <w:proofErr w:type="spellStart"/>
      <w:r w:rsidRPr="00574B81">
        <w:rPr>
          <w:rFonts w:ascii="Calibri" w:hAnsi="Calibri"/>
          <w:sz w:val="24"/>
          <w:szCs w:val="22"/>
        </w:rPr>
        <w:t>nuancen</w:t>
      </w:r>
      <w:proofErr w:type="spellEnd"/>
      <w:r w:rsidRPr="00574B81">
        <w:rPr>
          <w:rFonts w:ascii="Calibri" w:hAnsi="Calibri"/>
          <w:sz w:val="24"/>
          <w:szCs w:val="22"/>
        </w:rPr>
        <w:t xml:space="preserve">- und farbenreich doch ohne Sentimentalität. </w:t>
      </w:r>
      <w:proofErr w:type="spellStart"/>
      <w:r w:rsidRPr="00574B81">
        <w:rPr>
          <w:rFonts w:ascii="Calibri" w:hAnsi="Calibri"/>
          <w:sz w:val="24"/>
          <w:szCs w:val="22"/>
        </w:rPr>
        <w:t>Ránkis</w:t>
      </w:r>
      <w:proofErr w:type="spellEnd"/>
      <w:r w:rsidRPr="00574B81">
        <w:rPr>
          <w:rFonts w:ascii="Calibri" w:hAnsi="Calibri"/>
          <w:sz w:val="24"/>
          <w:szCs w:val="22"/>
        </w:rPr>
        <w:t xml:space="preserve"> umfangreiche Repertoire deckt die ganze Klassik und Romantik ab, reicht bis Bartók und </w:t>
      </w:r>
      <w:proofErr w:type="spellStart"/>
      <w:r w:rsidRPr="00574B81">
        <w:rPr>
          <w:rFonts w:ascii="Calibri" w:hAnsi="Calibri"/>
          <w:sz w:val="24"/>
          <w:szCs w:val="22"/>
        </w:rPr>
        <w:t>Kurtág</w:t>
      </w:r>
      <w:proofErr w:type="spellEnd"/>
      <w:r w:rsidRPr="00574B81">
        <w:rPr>
          <w:rFonts w:ascii="Calibri" w:hAnsi="Calibri"/>
          <w:sz w:val="24"/>
          <w:szCs w:val="22"/>
        </w:rPr>
        <w:t>.</w:t>
      </w:r>
    </w:p>
    <w:p w:rsidR="00574B81" w:rsidRPr="00574B81" w:rsidRDefault="00574B81" w:rsidP="00574B81">
      <w:pPr>
        <w:pStyle w:val="Textkrper"/>
        <w:widowControl/>
        <w:spacing w:before="120" w:line="240" w:lineRule="auto"/>
        <w:rPr>
          <w:rFonts w:ascii="Calibri" w:hAnsi="Calibri"/>
          <w:sz w:val="24"/>
          <w:szCs w:val="22"/>
        </w:rPr>
      </w:pPr>
      <w:r w:rsidRPr="00574B81">
        <w:rPr>
          <w:rFonts w:ascii="Calibri" w:hAnsi="Calibri"/>
          <w:sz w:val="24"/>
          <w:szCs w:val="22"/>
        </w:rPr>
        <w:t xml:space="preserve">Gastspiele führten Dezsö </w:t>
      </w:r>
      <w:proofErr w:type="spellStart"/>
      <w:r w:rsidRPr="00574B81">
        <w:rPr>
          <w:rFonts w:ascii="Calibri" w:hAnsi="Calibri"/>
          <w:sz w:val="24"/>
          <w:szCs w:val="22"/>
        </w:rPr>
        <w:t>Ránki</w:t>
      </w:r>
      <w:proofErr w:type="spellEnd"/>
      <w:r w:rsidRPr="00574B81">
        <w:rPr>
          <w:rFonts w:ascii="Calibri" w:hAnsi="Calibri"/>
          <w:sz w:val="24"/>
          <w:szCs w:val="22"/>
        </w:rPr>
        <w:t xml:space="preserve"> in die wichtigsten Musikzentren Europas und Nordamerikas sowie nach Japan. </w:t>
      </w:r>
    </w:p>
    <w:p w:rsidR="00574B81" w:rsidRPr="00574B81" w:rsidRDefault="00574B81" w:rsidP="00574B81">
      <w:pPr>
        <w:pStyle w:val="Textkrper"/>
        <w:widowControl/>
        <w:spacing w:before="0" w:line="240" w:lineRule="auto"/>
        <w:rPr>
          <w:rFonts w:ascii="Calibri" w:hAnsi="Calibri"/>
          <w:sz w:val="24"/>
          <w:szCs w:val="22"/>
        </w:rPr>
      </w:pPr>
      <w:proofErr w:type="spellStart"/>
      <w:r w:rsidRPr="00574B81">
        <w:rPr>
          <w:rFonts w:ascii="Calibri" w:hAnsi="Calibri"/>
          <w:sz w:val="24"/>
          <w:szCs w:val="22"/>
          <w:lang w:val="en-GB"/>
        </w:rPr>
        <w:t>Internationale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Orchester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mit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denen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Ránki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Konzerte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gab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sind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>: London Philharmoni</w:t>
      </w:r>
      <w:bookmarkStart w:id="4" w:name="OCRUncertain029"/>
      <w:r w:rsidRPr="00574B81">
        <w:rPr>
          <w:rFonts w:ascii="Calibri" w:hAnsi="Calibri"/>
          <w:sz w:val="24"/>
          <w:szCs w:val="22"/>
          <w:lang w:val="en-GB"/>
        </w:rPr>
        <w:t xml:space="preserve">c und </w:t>
      </w:r>
      <w:bookmarkStart w:id="5" w:name="OCRUncertain030"/>
      <w:r w:rsidRPr="00574B81">
        <w:rPr>
          <w:rFonts w:ascii="Calibri" w:hAnsi="Calibri"/>
          <w:sz w:val="24"/>
          <w:szCs w:val="22"/>
          <w:lang w:val="en-GB"/>
        </w:rPr>
        <w:t>English</w:t>
      </w:r>
      <w:bookmarkEnd w:id="5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bookmarkStart w:id="6" w:name="OCRUncertain031"/>
      <w:r w:rsidRPr="00574B81">
        <w:rPr>
          <w:rFonts w:ascii="Calibri" w:hAnsi="Calibri"/>
          <w:sz w:val="24"/>
          <w:szCs w:val="22"/>
          <w:lang w:val="en-GB"/>
        </w:rPr>
        <w:t>Chamber</w:t>
      </w:r>
      <w:bookmarkEnd w:id="6"/>
      <w:r w:rsidRPr="00574B81">
        <w:rPr>
          <w:rFonts w:ascii="Calibri" w:hAnsi="Calibri"/>
          <w:sz w:val="24"/>
          <w:szCs w:val="22"/>
          <w:lang w:val="en-GB"/>
        </w:rPr>
        <w:t xml:space="preserve"> Orchestra</w:t>
      </w:r>
      <w:bookmarkEnd w:id="4"/>
      <w:r w:rsidRPr="00574B81">
        <w:rPr>
          <w:rFonts w:ascii="Calibri" w:hAnsi="Calibri"/>
          <w:sz w:val="24"/>
          <w:szCs w:val="22"/>
          <w:lang w:val="en-GB"/>
        </w:rPr>
        <w:t>, Concertgebouw Orchestra Amsterdam, Netherlan</w:t>
      </w:r>
      <w:bookmarkStart w:id="7" w:name="OCRUncertain032"/>
      <w:r w:rsidRPr="00574B81">
        <w:rPr>
          <w:rFonts w:ascii="Calibri" w:hAnsi="Calibri"/>
          <w:sz w:val="24"/>
          <w:szCs w:val="22"/>
          <w:lang w:val="en-GB"/>
        </w:rPr>
        <w:t xml:space="preserve">ds Radio Philharmonic Orchestra, </w:t>
      </w:r>
      <w:bookmarkStart w:id="8" w:name="OCRUncertain033"/>
      <w:bookmarkEnd w:id="7"/>
      <w:proofErr w:type="spellStart"/>
      <w:r w:rsidRPr="00574B81">
        <w:rPr>
          <w:rFonts w:ascii="Calibri" w:hAnsi="Calibri"/>
          <w:sz w:val="24"/>
          <w:szCs w:val="22"/>
          <w:lang w:val="en-GB"/>
        </w:rPr>
        <w:t>Orchestre</w:t>
      </w:r>
      <w:bookmarkEnd w:id="8"/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National de France, </w:t>
      </w:r>
      <w:bookmarkStart w:id="9" w:name="OCRUncertain034"/>
      <w:proofErr w:type="spellStart"/>
      <w:r w:rsidRPr="00574B81">
        <w:rPr>
          <w:rFonts w:ascii="Calibri" w:hAnsi="Calibri"/>
          <w:sz w:val="24"/>
          <w:szCs w:val="22"/>
          <w:lang w:val="en-GB"/>
        </w:rPr>
        <w:t>Orchestre</w:t>
      </w:r>
      <w:bookmarkEnd w:id="9"/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de la </w:t>
      </w:r>
      <w:bookmarkStart w:id="10" w:name="OCRUncertain035"/>
      <w:r w:rsidRPr="00574B81">
        <w:rPr>
          <w:rFonts w:ascii="Calibri" w:hAnsi="Calibri"/>
          <w:sz w:val="24"/>
          <w:szCs w:val="22"/>
          <w:lang w:val="en-GB"/>
        </w:rPr>
        <w:t>Suisse</w:t>
      </w:r>
      <w:bookmarkStart w:id="11" w:name="OCRUncertain036"/>
      <w:bookmarkEnd w:id="10"/>
      <w:r w:rsidRPr="00574B81">
        <w:rPr>
          <w:rFonts w:ascii="Calibri" w:hAnsi="Calibri"/>
          <w:sz w:val="24"/>
          <w:szCs w:val="22"/>
          <w:lang w:val="en-GB"/>
        </w:rPr>
        <w:t>-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Romande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</w:t>
      </w:r>
      <w:bookmarkEnd w:id="11"/>
      <w:r w:rsidRPr="00574B81">
        <w:rPr>
          <w:rFonts w:ascii="Calibri" w:hAnsi="Calibri"/>
          <w:sz w:val="24"/>
          <w:szCs w:val="22"/>
          <w:lang w:val="en-GB"/>
        </w:rPr>
        <w:t xml:space="preserve">Budapest Festival Orchestra </w:t>
      </w:r>
      <w:bookmarkStart w:id="12" w:name="OCRUncertain037"/>
      <w:r w:rsidRPr="00574B81">
        <w:rPr>
          <w:rFonts w:ascii="Calibri" w:hAnsi="Calibri"/>
          <w:sz w:val="24"/>
          <w:szCs w:val="22"/>
          <w:lang w:val="en-GB"/>
        </w:rPr>
        <w:t>und NHK-Symphony</w:t>
      </w:r>
      <w:bookmarkEnd w:id="12"/>
      <w:r w:rsidRPr="00574B81">
        <w:rPr>
          <w:rFonts w:ascii="Calibri" w:hAnsi="Calibri"/>
          <w:sz w:val="24"/>
          <w:szCs w:val="22"/>
          <w:lang w:val="en-GB"/>
        </w:rPr>
        <w:t xml:space="preserve"> Orchestra Tokyo.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Er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spielte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unter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Dirigenten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wie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: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Frans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Brüggen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Iván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Fischer, </w:t>
      </w:r>
      <w:r w:rsidRPr="00574B81">
        <w:rPr>
          <w:rFonts w:ascii="Calibri" w:hAnsi="Calibri" w:cs="Arial"/>
          <w:sz w:val="24"/>
          <w:szCs w:val="22"/>
          <w:lang w:val="en-GB"/>
        </w:rPr>
        <w:t xml:space="preserve">Vladimir </w:t>
      </w:r>
      <w:proofErr w:type="spellStart"/>
      <w:r w:rsidRPr="00574B81">
        <w:rPr>
          <w:rFonts w:ascii="Calibri" w:hAnsi="Calibri" w:cs="Arial"/>
          <w:sz w:val="24"/>
          <w:szCs w:val="22"/>
          <w:lang w:val="en-GB"/>
        </w:rPr>
        <w:t>Jurowski</w:t>
      </w:r>
      <w:proofErr w:type="spellEnd"/>
      <w:r w:rsidRPr="00574B81">
        <w:rPr>
          <w:rFonts w:ascii="Calibri" w:hAnsi="Calibri" w:cs="Arial"/>
          <w:sz w:val="24"/>
          <w:szCs w:val="22"/>
          <w:lang w:val="en-GB"/>
        </w:rPr>
        <w:t>,</w:t>
      </w:r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Kirill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Kondraschin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Zubin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bookmarkStart w:id="13" w:name="OCRUncertain039"/>
      <w:r w:rsidRPr="00574B81">
        <w:rPr>
          <w:rFonts w:ascii="Calibri" w:hAnsi="Calibri"/>
          <w:sz w:val="24"/>
          <w:szCs w:val="22"/>
          <w:lang w:val="en-GB"/>
        </w:rPr>
        <w:t>Mehta,</w:t>
      </w:r>
      <w:bookmarkEnd w:id="13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Lorin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Maazel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Sir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Yehudi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 Menuhin, </w:t>
      </w:r>
      <w:bookmarkStart w:id="14" w:name="OCRUncertain041"/>
      <w:r w:rsidRPr="00574B81">
        <w:rPr>
          <w:rFonts w:ascii="Calibri" w:hAnsi="Calibri"/>
          <w:sz w:val="24"/>
          <w:szCs w:val="22"/>
          <w:lang w:val="en-GB"/>
        </w:rPr>
        <w:t>Vaclav</w:t>
      </w:r>
      <w:bookmarkEnd w:id="14"/>
      <w:r w:rsidRPr="00574B81">
        <w:rPr>
          <w:rFonts w:ascii="Calibri" w:hAnsi="Calibri"/>
          <w:sz w:val="24"/>
          <w:szCs w:val="22"/>
          <w:lang w:val="en-GB"/>
        </w:rPr>
        <w:t xml:space="preserve"> Neumann, </w:t>
      </w:r>
      <w:bookmarkStart w:id="15" w:name="OCRUncertain042"/>
      <w:r w:rsidRPr="00574B81">
        <w:rPr>
          <w:rFonts w:ascii="Calibri" w:hAnsi="Calibri"/>
          <w:sz w:val="24"/>
          <w:szCs w:val="22"/>
          <w:lang w:val="en-GB"/>
        </w:rPr>
        <w:t xml:space="preserve">Gennady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Roshdestvensky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 xml:space="preserve">, Kurt </w:t>
      </w:r>
      <w:proofErr w:type="spellStart"/>
      <w:r w:rsidRPr="00574B81">
        <w:rPr>
          <w:rFonts w:ascii="Calibri" w:hAnsi="Calibri"/>
          <w:sz w:val="24"/>
          <w:szCs w:val="22"/>
          <w:lang w:val="en-GB"/>
        </w:rPr>
        <w:t>Sanderling</w:t>
      </w:r>
      <w:proofErr w:type="spellEnd"/>
      <w:r w:rsidRPr="00574B81">
        <w:rPr>
          <w:rFonts w:ascii="Calibri" w:hAnsi="Calibri"/>
          <w:sz w:val="24"/>
          <w:szCs w:val="22"/>
          <w:lang w:val="en-GB"/>
        </w:rPr>
        <w:t>, Sir Georg Solti und Jeffrey</w:t>
      </w:r>
      <w:bookmarkEnd w:id="15"/>
      <w:r w:rsidRPr="00574B81">
        <w:rPr>
          <w:rFonts w:ascii="Calibri" w:hAnsi="Calibri"/>
          <w:sz w:val="24"/>
          <w:szCs w:val="22"/>
          <w:lang w:val="en-GB"/>
        </w:rPr>
        <w:t xml:space="preserve"> T</w:t>
      </w:r>
      <w:bookmarkStart w:id="16" w:name="OCRUncertain043"/>
      <w:r w:rsidRPr="00574B81">
        <w:rPr>
          <w:rFonts w:ascii="Calibri" w:hAnsi="Calibri"/>
          <w:sz w:val="24"/>
          <w:szCs w:val="22"/>
          <w:lang w:val="en-GB"/>
        </w:rPr>
        <w:t>a</w:t>
      </w:r>
      <w:bookmarkEnd w:id="16"/>
      <w:r w:rsidRPr="00574B81">
        <w:rPr>
          <w:rFonts w:ascii="Calibri" w:hAnsi="Calibri"/>
          <w:sz w:val="24"/>
          <w:szCs w:val="22"/>
          <w:lang w:val="en-GB"/>
        </w:rPr>
        <w:t xml:space="preserve">te. </w:t>
      </w:r>
      <w:r w:rsidRPr="00574B81">
        <w:rPr>
          <w:rFonts w:ascii="Calibri" w:hAnsi="Calibri"/>
          <w:sz w:val="24"/>
          <w:szCs w:val="22"/>
        </w:rPr>
        <w:t xml:space="preserve">Solo-Recitals wie in der </w:t>
      </w:r>
      <w:proofErr w:type="spellStart"/>
      <w:r w:rsidRPr="00574B81">
        <w:rPr>
          <w:rFonts w:ascii="Calibri" w:hAnsi="Calibri"/>
          <w:sz w:val="24"/>
          <w:szCs w:val="22"/>
        </w:rPr>
        <w:t>Wigmore</w:t>
      </w:r>
      <w:proofErr w:type="spellEnd"/>
      <w:r w:rsidRPr="00574B81">
        <w:rPr>
          <w:rFonts w:ascii="Calibri" w:hAnsi="Calibri"/>
          <w:sz w:val="24"/>
          <w:szCs w:val="22"/>
        </w:rPr>
        <w:t xml:space="preserve"> Hall London oder im </w:t>
      </w:r>
      <w:proofErr w:type="spellStart"/>
      <w:r w:rsidRPr="00574B81">
        <w:rPr>
          <w:rFonts w:ascii="Calibri" w:hAnsi="Calibri"/>
          <w:sz w:val="24"/>
          <w:szCs w:val="22"/>
        </w:rPr>
        <w:t>Concertgebouw</w:t>
      </w:r>
      <w:proofErr w:type="spellEnd"/>
      <w:r w:rsidRPr="00574B81">
        <w:rPr>
          <w:rFonts w:ascii="Calibri" w:hAnsi="Calibri"/>
          <w:sz w:val="24"/>
          <w:szCs w:val="22"/>
        </w:rPr>
        <w:t xml:space="preserve"> Amsterdam und Konzerte bei renommierten Festivals unterstreichen seinen herausragenden Ruf: Musikfestwochen </w:t>
      </w:r>
      <w:bookmarkStart w:id="17" w:name="OCRUncertain019"/>
      <w:r w:rsidRPr="00574B81">
        <w:rPr>
          <w:rFonts w:ascii="Calibri" w:hAnsi="Calibri"/>
          <w:sz w:val="24"/>
          <w:szCs w:val="22"/>
        </w:rPr>
        <w:t>Luzern,</w:t>
      </w:r>
      <w:bookmarkEnd w:id="17"/>
      <w:r w:rsidRPr="00574B81">
        <w:rPr>
          <w:rFonts w:ascii="Calibri" w:hAnsi="Calibri"/>
          <w:sz w:val="24"/>
          <w:szCs w:val="22"/>
        </w:rPr>
        <w:t xml:space="preserve"> Wiener Festwochen, Pr</w:t>
      </w:r>
      <w:bookmarkStart w:id="18" w:name="OCRUncertain020"/>
      <w:r w:rsidRPr="00574B81">
        <w:rPr>
          <w:rFonts w:ascii="Calibri" w:hAnsi="Calibri"/>
          <w:sz w:val="24"/>
          <w:szCs w:val="22"/>
        </w:rPr>
        <w:t>a</w:t>
      </w:r>
      <w:bookmarkEnd w:id="18"/>
      <w:r w:rsidRPr="00574B81">
        <w:rPr>
          <w:rFonts w:ascii="Calibri" w:hAnsi="Calibri"/>
          <w:sz w:val="24"/>
          <w:szCs w:val="22"/>
        </w:rPr>
        <w:t xml:space="preserve">ger Frühling, Lockenhaus, und die Festivals in La </w:t>
      </w:r>
      <w:bookmarkStart w:id="19" w:name="OCRUncertain021"/>
      <w:r w:rsidRPr="00574B81">
        <w:rPr>
          <w:rFonts w:ascii="Calibri" w:hAnsi="Calibri"/>
          <w:sz w:val="24"/>
          <w:szCs w:val="22"/>
        </w:rPr>
        <w:t>Grange</w:t>
      </w:r>
      <w:bookmarkEnd w:id="19"/>
      <w:r w:rsidRPr="00574B81">
        <w:rPr>
          <w:rFonts w:ascii="Calibri" w:hAnsi="Calibri"/>
          <w:sz w:val="24"/>
          <w:szCs w:val="22"/>
        </w:rPr>
        <w:t xml:space="preserve"> de </w:t>
      </w:r>
      <w:bookmarkStart w:id="20" w:name="OCRUncertain022"/>
      <w:proofErr w:type="spellStart"/>
      <w:r w:rsidRPr="00574B81">
        <w:rPr>
          <w:rFonts w:ascii="Calibri" w:hAnsi="Calibri"/>
          <w:sz w:val="24"/>
          <w:szCs w:val="22"/>
        </w:rPr>
        <w:t>Meslay</w:t>
      </w:r>
      <w:bookmarkEnd w:id="20"/>
      <w:proofErr w:type="spellEnd"/>
      <w:r w:rsidRPr="00574B81">
        <w:rPr>
          <w:rFonts w:ascii="Calibri" w:hAnsi="Calibri"/>
          <w:sz w:val="24"/>
          <w:szCs w:val="22"/>
        </w:rPr>
        <w:t xml:space="preserve"> und La Roque </w:t>
      </w:r>
      <w:proofErr w:type="spellStart"/>
      <w:r w:rsidRPr="00574B81">
        <w:rPr>
          <w:rFonts w:ascii="Calibri" w:hAnsi="Calibri"/>
          <w:sz w:val="24"/>
          <w:szCs w:val="22"/>
        </w:rPr>
        <w:t>d'Anthéron</w:t>
      </w:r>
      <w:proofErr w:type="spellEnd"/>
      <w:r w:rsidRPr="00574B81">
        <w:rPr>
          <w:rFonts w:ascii="Calibri" w:hAnsi="Calibri"/>
          <w:sz w:val="24"/>
          <w:szCs w:val="22"/>
        </w:rPr>
        <w:t>.</w:t>
      </w:r>
    </w:p>
    <w:p w:rsidR="00574B81" w:rsidRPr="00574B81" w:rsidRDefault="00574B81" w:rsidP="00574B81">
      <w:pPr>
        <w:pStyle w:val="Textkrper"/>
        <w:widowControl/>
        <w:spacing w:before="0" w:line="240" w:lineRule="auto"/>
        <w:rPr>
          <w:rFonts w:ascii="Calibri" w:hAnsi="Calibri"/>
          <w:sz w:val="24"/>
          <w:szCs w:val="22"/>
        </w:rPr>
      </w:pPr>
      <w:r w:rsidRPr="00574B81">
        <w:rPr>
          <w:rFonts w:ascii="Calibri" w:hAnsi="Calibri"/>
          <w:sz w:val="24"/>
          <w:szCs w:val="22"/>
        </w:rPr>
        <w:t xml:space="preserve">2015 war er mit dem 3. Klavierkonzert von Bartók Solist des </w:t>
      </w:r>
      <w:proofErr w:type="spellStart"/>
      <w:r w:rsidRPr="00574B81">
        <w:rPr>
          <w:rFonts w:ascii="Calibri" w:hAnsi="Calibri"/>
          <w:sz w:val="24"/>
          <w:szCs w:val="22"/>
        </w:rPr>
        <w:t>Orchestre</w:t>
      </w:r>
      <w:proofErr w:type="spellEnd"/>
      <w:r w:rsidRPr="00574B81">
        <w:rPr>
          <w:rFonts w:ascii="Calibri" w:hAnsi="Calibri"/>
          <w:sz w:val="24"/>
          <w:szCs w:val="22"/>
        </w:rPr>
        <w:t xml:space="preserve"> National de France unter Daniele </w:t>
      </w:r>
      <w:proofErr w:type="spellStart"/>
      <w:r w:rsidRPr="00574B81">
        <w:rPr>
          <w:rFonts w:ascii="Calibri" w:hAnsi="Calibri"/>
          <w:sz w:val="24"/>
          <w:szCs w:val="22"/>
        </w:rPr>
        <w:t>Gatti</w:t>
      </w:r>
      <w:proofErr w:type="spellEnd"/>
      <w:r w:rsidRPr="00574B81">
        <w:rPr>
          <w:rFonts w:ascii="Calibri" w:hAnsi="Calibri"/>
          <w:sz w:val="24"/>
          <w:szCs w:val="22"/>
        </w:rPr>
        <w:t xml:space="preserve">.  </w:t>
      </w:r>
    </w:p>
    <w:p w:rsidR="00574B81" w:rsidRPr="00574B81" w:rsidRDefault="00574B81" w:rsidP="00574B81">
      <w:pPr>
        <w:pStyle w:val="Textkrper"/>
        <w:widowControl/>
        <w:spacing w:before="120" w:line="240" w:lineRule="auto"/>
        <w:rPr>
          <w:rFonts w:ascii="Calibri" w:hAnsi="Calibri" w:cs="Arial"/>
          <w:sz w:val="24"/>
          <w:szCs w:val="22"/>
        </w:rPr>
      </w:pPr>
      <w:bookmarkStart w:id="21" w:name="OCRUncertain0271"/>
      <w:r w:rsidRPr="00574B81">
        <w:rPr>
          <w:rFonts w:ascii="Calibri" w:hAnsi="Calibri"/>
          <w:sz w:val="24"/>
          <w:szCs w:val="22"/>
        </w:rPr>
        <w:t xml:space="preserve">Dezsö </w:t>
      </w:r>
      <w:bookmarkStart w:id="22" w:name="OCRUncertain0281"/>
      <w:proofErr w:type="spellStart"/>
      <w:r w:rsidRPr="00574B81">
        <w:rPr>
          <w:rFonts w:ascii="Calibri" w:hAnsi="Calibri"/>
          <w:sz w:val="24"/>
          <w:szCs w:val="22"/>
        </w:rPr>
        <w:t>Ránki</w:t>
      </w:r>
      <w:bookmarkEnd w:id="22"/>
      <w:r w:rsidRPr="00574B81">
        <w:rPr>
          <w:rFonts w:ascii="Calibri" w:hAnsi="Calibri"/>
          <w:sz w:val="24"/>
          <w:szCs w:val="22"/>
        </w:rPr>
        <w:t>s</w:t>
      </w:r>
      <w:proofErr w:type="spellEnd"/>
      <w:r w:rsidRPr="00574B81">
        <w:rPr>
          <w:rFonts w:ascii="Calibri" w:hAnsi="Calibri"/>
          <w:sz w:val="24"/>
          <w:szCs w:val="22"/>
        </w:rPr>
        <w:t xml:space="preserve"> </w:t>
      </w:r>
      <w:bookmarkEnd w:id="21"/>
      <w:r w:rsidRPr="00574B81">
        <w:rPr>
          <w:rFonts w:ascii="Calibri" w:hAnsi="Calibri"/>
          <w:sz w:val="24"/>
          <w:szCs w:val="22"/>
        </w:rPr>
        <w:t xml:space="preserve">war Solist beim Berliner Philharmonischen Orchester, </w:t>
      </w:r>
      <w:r w:rsidRPr="00574B81">
        <w:rPr>
          <w:rFonts w:ascii="Calibri" w:hAnsi="Calibri" w:cs="Arial"/>
          <w:sz w:val="24"/>
          <w:szCs w:val="22"/>
        </w:rPr>
        <w:t>Konzerthausorchester Berlin,</w:t>
      </w:r>
      <w:r w:rsidRPr="00574B81">
        <w:rPr>
          <w:rFonts w:ascii="Calibri" w:hAnsi="Calibri"/>
          <w:sz w:val="24"/>
          <w:szCs w:val="22"/>
        </w:rPr>
        <w:t xml:space="preserve"> Gewandhausorchester Leipzig, Symphonieorchester des Bayerischen Rundfunks, Stuttgarter Kammerorchester, der Dresdner Philharmonie</w:t>
      </w:r>
      <w:r w:rsidRPr="00574B81">
        <w:rPr>
          <w:rFonts w:ascii="Calibri" w:hAnsi="Calibri" w:cs="Arial"/>
          <w:sz w:val="24"/>
          <w:szCs w:val="22"/>
        </w:rPr>
        <w:t>,</w:t>
      </w:r>
      <w:r w:rsidRPr="00574B81">
        <w:rPr>
          <w:rFonts w:ascii="Calibri" w:hAnsi="Calibri"/>
          <w:sz w:val="24"/>
          <w:szCs w:val="22"/>
        </w:rPr>
        <w:t xml:space="preserve"> dem Sinfonieorchester Wuppertal, sowie den Philharmonikern in Bremen, Essen und Nürnberg. Er gastierte </w:t>
      </w:r>
      <w:r w:rsidRPr="00574B81">
        <w:rPr>
          <w:rFonts w:ascii="Calibri" w:hAnsi="Calibri" w:cs="Arial"/>
          <w:sz w:val="24"/>
          <w:szCs w:val="22"/>
        </w:rPr>
        <w:t xml:space="preserve">im Festspielhaus Baden-Baden, beim Schumannfest in Düsseldorf, dem Kissinger Sommer, MDR Musiksommer und 2018 bei den </w:t>
      </w:r>
      <w:proofErr w:type="spellStart"/>
      <w:r w:rsidRPr="00574B81">
        <w:rPr>
          <w:rFonts w:ascii="Calibri" w:hAnsi="Calibri" w:cs="Arial"/>
          <w:sz w:val="24"/>
          <w:szCs w:val="22"/>
        </w:rPr>
        <w:t>Schwetzinger</w:t>
      </w:r>
      <w:proofErr w:type="spellEnd"/>
      <w:r w:rsidRPr="00574B81">
        <w:rPr>
          <w:rFonts w:ascii="Calibri" w:hAnsi="Calibri" w:cs="Arial"/>
          <w:sz w:val="24"/>
          <w:szCs w:val="22"/>
        </w:rPr>
        <w:t xml:space="preserve"> Festspielen.</w:t>
      </w:r>
    </w:p>
    <w:p w:rsidR="00574B81" w:rsidRPr="00574B81" w:rsidRDefault="00574B81" w:rsidP="00574B81">
      <w:pPr>
        <w:spacing w:before="120"/>
        <w:jc w:val="both"/>
        <w:rPr>
          <w:rFonts w:ascii="Calibri" w:hAnsi="Calibri" w:cs="Arial"/>
          <w:sz w:val="24"/>
          <w:szCs w:val="22"/>
        </w:rPr>
      </w:pPr>
      <w:r w:rsidRPr="00574B81">
        <w:rPr>
          <w:rFonts w:ascii="Calibri" w:hAnsi="Calibri" w:cs="Arial"/>
          <w:sz w:val="24"/>
          <w:szCs w:val="22"/>
        </w:rPr>
        <w:t xml:space="preserve">Aufnahmen des Pianisten wurden bei </w:t>
      </w:r>
      <w:bookmarkStart w:id="23" w:name="OCRUncertain049"/>
      <w:proofErr w:type="spellStart"/>
      <w:r w:rsidRPr="00574B81">
        <w:rPr>
          <w:rFonts w:ascii="Calibri" w:hAnsi="Calibri" w:cs="Arial"/>
          <w:sz w:val="24"/>
          <w:szCs w:val="22"/>
        </w:rPr>
        <w:t>Hungaroton</w:t>
      </w:r>
      <w:proofErr w:type="spellEnd"/>
      <w:r w:rsidRPr="00574B81">
        <w:rPr>
          <w:rFonts w:ascii="Calibri" w:hAnsi="Calibri" w:cs="Arial"/>
          <w:sz w:val="24"/>
          <w:szCs w:val="22"/>
        </w:rPr>
        <w:t xml:space="preserve">, </w:t>
      </w:r>
      <w:proofErr w:type="spellStart"/>
      <w:r w:rsidRPr="00574B81">
        <w:rPr>
          <w:rFonts w:ascii="Calibri" w:hAnsi="Calibri" w:cs="Arial"/>
          <w:sz w:val="24"/>
          <w:szCs w:val="22"/>
        </w:rPr>
        <w:t>Teldec</w:t>
      </w:r>
      <w:proofErr w:type="spellEnd"/>
      <w:r w:rsidRPr="00574B81">
        <w:rPr>
          <w:rFonts w:ascii="Calibri" w:hAnsi="Calibri" w:cs="Arial"/>
          <w:sz w:val="24"/>
          <w:szCs w:val="22"/>
        </w:rPr>
        <w:t>,</w:t>
      </w:r>
      <w:bookmarkEnd w:id="23"/>
      <w:r w:rsidRPr="00574B81">
        <w:rPr>
          <w:rFonts w:ascii="Calibri" w:hAnsi="Calibri" w:cs="Arial"/>
          <w:sz w:val="24"/>
          <w:szCs w:val="22"/>
        </w:rPr>
        <w:t xml:space="preserve"> </w:t>
      </w:r>
      <w:bookmarkStart w:id="24" w:name="OCRUncertain050"/>
      <w:proofErr w:type="spellStart"/>
      <w:r w:rsidRPr="00574B81">
        <w:rPr>
          <w:rFonts w:ascii="Calibri" w:hAnsi="Calibri" w:cs="Arial"/>
          <w:sz w:val="24"/>
          <w:szCs w:val="22"/>
        </w:rPr>
        <w:t>Denon</w:t>
      </w:r>
      <w:bookmarkStart w:id="25" w:name="OCRUncertain051"/>
      <w:bookmarkEnd w:id="24"/>
      <w:proofErr w:type="spellEnd"/>
      <w:r w:rsidRPr="00574B81">
        <w:rPr>
          <w:rFonts w:ascii="Calibri" w:hAnsi="Calibri" w:cs="Arial"/>
          <w:sz w:val="24"/>
          <w:szCs w:val="22"/>
        </w:rPr>
        <w:t>, und Quint</w:t>
      </w:r>
      <w:bookmarkEnd w:id="25"/>
      <w:r w:rsidRPr="00574B81">
        <w:rPr>
          <w:rFonts w:ascii="Calibri" w:hAnsi="Calibri" w:cs="Arial"/>
          <w:sz w:val="24"/>
          <w:szCs w:val="22"/>
        </w:rPr>
        <w:t xml:space="preserve"> Records veröffentlicht. Prämiert wurden seine </w:t>
      </w:r>
      <w:bookmarkStart w:id="26" w:name="OCRUncertain052"/>
      <w:r w:rsidRPr="00574B81">
        <w:rPr>
          <w:rFonts w:ascii="Calibri" w:hAnsi="Calibri" w:cs="Arial"/>
          <w:sz w:val="24"/>
          <w:szCs w:val="22"/>
        </w:rPr>
        <w:t>Einspielung</w:t>
      </w:r>
      <w:bookmarkEnd w:id="26"/>
      <w:r w:rsidRPr="00574B81">
        <w:rPr>
          <w:rFonts w:ascii="Calibri" w:hAnsi="Calibri" w:cs="Arial"/>
          <w:sz w:val="24"/>
          <w:szCs w:val="22"/>
        </w:rPr>
        <w:t xml:space="preserve"> der Etüden op. 10</w:t>
      </w:r>
      <w:bookmarkStart w:id="27" w:name="OCRUncertain055"/>
      <w:r w:rsidRPr="00574B81">
        <w:rPr>
          <w:rFonts w:ascii="Calibri" w:hAnsi="Calibri" w:cs="Arial"/>
          <w:sz w:val="24"/>
          <w:szCs w:val="22"/>
        </w:rPr>
        <w:t xml:space="preserve"> von Chopin </w:t>
      </w:r>
      <w:bookmarkEnd w:id="27"/>
      <w:r w:rsidRPr="00574B81">
        <w:rPr>
          <w:rFonts w:ascii="Calibri" w:hAnsi="Calibri" w:cs="Arial"/>
          <w:sz w:val="24"/>
          <w:szCs w:val="22"/>
        </w:rPr>
        <w:t xml:space="preserve">mit dem "Grand </w:t>
      </w:r>
      <w:bookmarkStart w:id="28" w:name="OCRUncertain056"/>
      <w:r w:rsidRPr="00574B81">
        <w:rPr>
          <w:rFonts w:ascii="Calibri" w:hAnsi="Calibri" w:cs="Arial"/>
          <w:sz w:val="24"/>
          <w:szCs w:val="22"/>
        </w:rPr>
        <w:t>Prix</w:t>
      </w:r>
      <w:bookmarkEnd w:id="28"/>
      <w:r w:rsidRPr="00574B81">
        <w:rPr>
          <w:rFonts w:ascii="Calibri" w:hAnsi="Calibri" w:cs="Arial"/>
          <w:sz w:val="24"/>
          <w:szCs w:val="22"/>
        </w:rPr>
        <w:t xml:space="preserve"> du </w:t>
      </w:r>
      <w:bookmarkStart w:id="29" w:name="OCRUncertain057"/>
      <w:proofErr w:type="spellStart"/>
      <w:r w:rsidRPr="00574B81">
        <w:rPr>
          <w:rFonts w:ascii="Calibri" w:hAnsi="Calibri" w:cs="Arial"/>
          <w:sz w:val="24"/>
          <w:szCs w:val="22"/>
        </w:rPr>
        <w:t>Disque</w:t>
      </w:r>
      <w:bookmarkEnd w:id="29"/>
      <w:proofErr w:type="spellEnd"/>
      <w:r w:rsidRPr="00574B81">
        <w:rPr>
          <w:rFonts w:ascii="Calibri" w:hAnsi="Calibri" w:cs="Arial"/>
          <w:sz w:val="24"/>
          <w:szCs w:val="22"/>
        </w:rPr>
        <w:t xml:space="preserve">" und </w:t>
      </w:r>
      <w:bookmarkStart w:id="30" w:name="OCRUncertain060"/>
      <w:r w:rsidRPr="00574B81">
        <w:rPr>
          <w:rFonts w:ascii="Calibri" w:hAnsi="Calibri" w:cs="Arial"/>
          <w:sz w:val="24"/>
          <w:szCs w:val="22"/>
        </w:rPr>
        <w:t>seine CD mit Bartóks</w:t>
      </w:r>
      <w:bookmarkEnd w:id="30"/>
      <w:r w:rsidRPr="00574B81">
        <w:rPr>
          <w:rFonts w:ascii="Calibri" w:hAnsi="Calibri" w:cs="Arial"/>
          <w:sz w:val="24"/>
          <w:szCs w:val="22"/>
        </w:rPr>
        <w:t xml:space="preserve"> Mikrokosmos mit dem "Grande </w:t>
      </w:r>
      <w:bookmarkStart w:id="31" w:name="OCRUncertain061"/>
      <w:proofErr w:type="spellStart"/>
      <w:r w:rsidRPr="00574B81">
        <w:rPr>
          <w:rFonts w:ascii="Calibri" w:hAnsi="Calibri" w:cs="Arial"/>
          <w:sz w:val="24"/>
          <w:szCs w:val="22"/>
        </w:rPr>
        <w:t>Premio</w:t>
      </w:r>
      <w:bookmarkEnd w:id="31"/>
      <w:proofErr w:type="spellEnd"/>
      <w:r w:rsidRPr="00574B81">
        <w:rPr>
          <w:rFonts w:ascii="Calibri" w:hAnsi="Calibri" w:cs="Arial"/>
          <w:sz w:val="24"/>
          <w:szCs w:val="22"/>
        </w:rPr>
        <w:t xml:space="preserve"> </w:t>
      </w:r>
      <w:bookmarkStart w:id="32" w:name="OCRUncertain062"/>
      <w:proofErr w:type="spellStart"/>
      <w:r w:rsidRPr="00574B81">
        <w:rPr>
          <w:rFonts w:ascii="Calibri" w:hAnsi="Calibri" w:cs="Arial"/>
          <w:sz w:val="24"/>
          <w:szCs w:val="22"/>
        </w:rPr>
        <w:t>dei</w:t>
      </w:r>
      <w:bookmarkEnd w:id="32"/>
      <w:proofErr w:type="spellEnd"/>
      <w:r w:rsidRPr="00574B81">
        <w:rPr>
          <w:rFonts w:ascii="Calibri" w:hAnsi="Calibri" w:cs="Arial"/>
          <w:sz w:val="24"/>
          <w:szCs w:val="22"/>
        </w:rPr>
        <w:t xml:space="preserve"> </w:t>
      </w:r>
      <w:bookmarkStart w:id="33" w:name="OCRUncertain063"/>
      <w:proofErr w:type="spellStart"/>
      <w:r w:rsidRPr="00574B81">
        <w:rPr>
          <w:rFonts w:ascii="Calibri" w:hAnsi="Calibri" w:cs="Arial"/>
          <w:sz w:val="24"/>
          <w:szCs w:val="22"/>
        </w:rPr>
        <w:t>Critici</w:t>
      </w:r>
      <w:bookmarkEnd w:id="33"/>
      <w:proofErr w:type="spellEnd"/>
      <w:r w:rsidRPr="00574B81">
        <w:rPr>
          <w:rFonts w:ascii="Calibri" w:hAnsi="Calibri" w:cs="Arial"/>
          <w:sz w:val="24"/>
          <w:szCs w:val="22"/>
        </w:rPr>
        <w:t xml:space="preserve"> </w:t>
      </w:r>
      <w:bookmarkStart w:id="34" w:name="OCRUncertain064"/>
      <w:proofErr w:type="spellStart"/>
      <w:r w:rsidRPr="00574B81">
        <w:rPr>
          <w:rFonts w:ascii="Calibri" w:hAnsi="Calibri" w:cs="Arial"/>
          <w:sz w:val="24"/>
          <w:szCs w:val="22"/>
        </w:rPr>
        <w:t>Italiani</w:t>
      </w:r>
      <w:proofErr w:type="spellEnd"/>
      <w:r w:rsidRPr="00574B81">
        <w:rPr>
          <w:rFonts w:ascii="Calibri" w:hAnsi="Calibri" w:cs="Arial"/>
          <w:sz w:val="24"/>
          <w:szCs w:val="22"/>
        </w:rPr>
        <w:t>".</w:t>
      </w:r>
      <w:bookmarkEnd w:id="34"/>
    </w:p>
    <w:p w:rsidR="00574B81" w:rsidRPr="00574B81" w:rsidRDefault="00574B81" w:rsidP="00574B81">
      <w:pPr>
        <w:pStyle w:val="Textkrper31"/>
        <w:spacing w:before="120"/>
        <w:rPr>
          <w:rFonts w:ascii="Calibri" w:hAnsi="Calibri" w:cs="Arial"/>
          <w:szCs w:val="22"/>
        </w:rPr>
      </w:pPr>
      <w:bookmarkStart w:id="35" w:name="OCRUncertain079"/>
      <w:r w:rsidRPr="00574B81">
        <w:rPr>
          <w:rFonts w:ascii="Calibri" w:hAnsi="Calibri" w:cs="Arial"/>
          <w:szCs w:val="22"/>
        </w:rPr>
        <w:t>Dezsö</w:t>
      </w:r>
      <w:bookmarkEnd w:id="35"/>
      <w:r w:rsidRPr="00574B81">
        <w:rPr>
          <w:rFonts w:ascii="Calibri" w:hAnsi="Calibri" w:cs="Arial"/>
          <w:szCs w:val="22"/>
        </w:rPr>
        <w:t xml:space="preserve"> </w:t>
      </w:r>
      <w:bookmarkStart w:id="36" w:name="OCRUncertain080"/>
      <w:proofErr w:type="spellStart"/>
      <w:r w:rsidRPr="00574B81">
        <w:rPr>
          <w:rFonts w:ascii="Calibri" w:hAnsi="Calibri" w:cs="Arial"/>
          <w:szCs w:val="22"/>
        </w:rPr>
        <w:t>Ránki</w:t>
      </w:r>
      <w:bookmarkEnd w:id="36"/>
      <w:proofErr w:type="spellEnd"/>
      <w:r w:rsidRPr="00574B81">
        <w:rPr>
          <w:rFonts w:ascii="Calibri" w:hAnsi="Calibri" w:cs="Arial"/>
          <w:szCs w:val="22"/>
        </w:rPr>
        <w:t xml:space="preserve"> gibt auch Konzerte mit seiner Ehefrau, der Pianistin </w:t>
      </w:r>
      <w:bookmarkStart w:id="37" w:name="OCRUncertain081"/>
      <w:r w:rsidRPr="00574B81">
        <w:rPr>
          <w:rFonts w:ascii="Calibri" w:hAnsi="Calibri" w:cs="Arial"/>
          <w:szCs w:val="22"/>
        </w:rPr>
        <w:t>Edit</w:t>
      </w:r>
      <w:bookmarkEnd w:id="37"/>
      <w:r w:rsidRPr="00574B81">
        <w:rPr>
          <w:rFonts w:ascii="Calibri" w:hAnsi="Calibri" w:cs="Arial"/>
          <w:szCs w:val="22"/>
        </w:rPr>
        <w:t xml:space="preserve"> </w:t>
      </w:r>
      <w:bookmarkStart w:id="38" w:name="OCRUncertain082"/>
      <w:proofErr w:type="spellStart"/>
      <w:r w:rsidRPr="00574B81">
        <w:rPr>
          <w:rFonts w:ascii="Calibri" w:hAnsi="Calibri" w:cs="Arial"/>
          <w:szCs w:val="22"/>
        </w:rPr>
        <w:t>Klukon</w:t>
      </w:r>
      <w:bookmarkEnd w:id="38"/>
      <w:proofErr w:type="spellEnd"/>
      <w:r w:rsidRPr="00574B81">
        <w:rPr>
          <w:rFonts w:ascii="Calibri" w:hAnsi="Calibri" w:cs="Arial"/>
          <w:szCs w:val="22"/>
        </w:rPr>
        <w:t xml:space="preserve">. Das Duo spielte zuletzt mit dem Saarländischen Staatsorchester und gastierte beim Beethovenfest Bonn, beim Schleswig-Holstein Musik Festival, den Dresdner Musikfestspielen und im Markgräflichen Opernhaus Bayreuth. CD-Aufnahmen für das ungarische Label BMC beinhalten Werke von Satie/Cage und Liszt, sowie des zeitgenössischen ungarischen Komponisten Barnabas </w:t>
      </w:r>
      <w:proofErr w:type="spellStart"/>
      <w:r w:rsidRPr="00574B81">
        <w:rPr>
          <w:rFonts w:ascii="Calibri" w:hAnsi="Calibri" w:cs="Arial"/>
          <w:szCs w:val="22"/>
        </w:rPr>
        <w:t>Dukay</w:t>
      </w:r>
      <w:proofErr w:type="spellEnd"/>
      <w:r w:rsidRPr="00574B81">
        <w:rPr>
          <w:rFonts w:ascii="Calibri" w:hAnsi="Calibri" w:cs="Arial"/>
          <w:szCs w:val="22"/>
        </w:rPr>
        <w:t>.</w:t>
      </w:r>
    </w:p>
    <w:p w:rsidR="00574B81" w:rsidRPr="00574B81" w:rsidRDefault="00574B81" w:rsidP="00574B81">
      <w:pPr>
        <w:spacing w:before="120"/>
        <w:jc w:val="both"/>
        <w:rPr>
          <w:rFonts w:ascii="Calibri" w:hAnsi="Calibri" w:cs="Arial"/>
          <w:color w:val="000000" w:themeColor="text1"/>
          <w:sz w:val="24"/>
          <w:szCs w:val="22"/>
        </w:rPr>
      </w:pPr>
      <w:r w:rsidRPr="00574B81">
        <w:rPr>
          <w:rFonts w:ascii="Calibri" w:hAnsi="Calibri" w:cs="Arial"/>
          <w:color w:val="000000" w:themeColor="text1"/>
          <w:sz w:val="24"/>
          <w:szCs w:val="22"/>
        </w:rPr>
        <w:t xml:space="preserve">Dezsö </w:t>
      </w:r>
      <w:proofErr w:type="spellStart"/>
      <w:r w:rsidRPr="00574B81">
        <w:rPr>
          <w:rFonts w:ascii="Calibri" w:hAnsi="Calibri" w:cs="Arial"/>
          <w:color w:val="000000" w:themeColor="text1"/>
          <w:sz w:val="24"/>
          <w:szCs w:val="22"/>
        </w:rPr>
        <w:t>Ránki</w:t>
      </w:r>
      <w:proofErr w:type="spellEnd"/>
      <w:r w:rsidRPr="00574B81">
        <w:rPr>
          <w:rFonts w:ascii="Calibri" w:hAnsi="Calibri" w:cs="Arial"/>
          <w:color w:val="000000" w:themeColor="text1"/>
          <w:sz w:val="24"/>
          <w:szCs w:val="22"/>
        </w:rPr>
        <w:t xml:space="preserve"> erhielt zweimal den angesehenen Kossuth-Preis (1978 und 2008), die höchste staatliche </w:t>
      </w:r>
      <w:hyperlink r:id="rId4" w:tooltip="Auszeichnung (Ehrung)" w:history="1">
        <w:r w:rsidRPr="00574B81">
          <w:rPr>
            <w:rStyle w:val="Hyperlink"/>
            <w:rFonts w:ascii="Calibri" w:hAnsi="Calibri" w:cs="Arial"/>
            <w:color w:val="000000" w:themeColor="text1"/>
            <w:sz w:val="24"/>
            <w:szCs w:val="22"/>
            <w:u w:val="none"/>
          </w:rPr>
          <w:t>Auszeichnung</w:t>
        </w:r>
      </w:hyperlink>
      <w:r w:rsidRPr="00574B81">
        <w:rPr>
          <w:rFonts w:ascii="Calibri" w:hAnsi="Calibri" w:cs="Arial"/>
          <w:color w:val="000000" w:themeColor="text1"/>
          <w:sz w:val="24"/>
          <w:szCs w:val="22"/>
        </w:rPr>
        <w:t xml:space="preserve"> in </w:t>
      </w:r>
      <w:hyperlink r:id="rId5" w:tooltip="Ungarn" w:history="1">
        <w:r w:rsidRPr="00574B81">
          <w:rPr>
            <w:rStyle w:val="Hyperlink"/>
            <w:rFonts w:ascii="Calibri" w:hAnsi="Calibri" w:cs="Arial"/>
            <w:color w:val="000000" w:themeColor="text1"/>
            <w:sz w:val="24"/>
            <w:szCs w:val="22"/>
            <w:u w:val="none"/>
          </w:rPr>
          <w:t>Ungarn</w:t>
        </w:r>
      </w:hyperlink>
      <w:r w:rsidRPr="00574B81">
        <w:rPr>
          <w:rFonts w:ascii="Calibri" w:hAnsi="Calibri" w:cs="Arial"/>
          <w:color w:val="000000" w:themeColor="text1"/>
          <w:sz w:val="24"/>
          <w:szCs w:val="22"/>
        </w:rPr>
        <w:t xml:space="preserve"> für die Bereiche Kunst und Kultur.</w:t>
      </w:r>
    </w:p>
    <w:p w:rsidR="00574B81" w:rsidRPr="00574B81" w:rsidRDefault="00574B81" w:rsidP="00574B81">
      <w:pPr>
        <w:spacing w:before="120"/>
        <w:jc w:val="both"/>
        <w:rPr>
          <w:rFonts w:ascii="Calibri" w:hAnsi="Calibri"/>
          <w:sz w:val="24"/>
          <w:szCs w:val="22"/>
        </w:rPr>
      </w:pPr>
      <w:r w:rsidRPr="00574B81">
        <w:rPr>
          <w:rFonts w:ascii="Calibri" w:hAnsi="Calibri" w:cs="Arial"/>
          <w:b/>
          <w:bCs/>
          <w:sz w:val="24"/>
          <w:szCs w:val="22"/>
        </w:rPr>
        <w:t>2022.23</w:t>
      </w:r>
    </w:p>
    <w:p w:rsidR="00B1496B" w:rsidRPr="00574B81" w:rsidRDefault="00B1496B">
      <w:pPr>
        <w:rPr>
          <w:sz w:val="24"/>
          <w:szCs w:val="22"/>
        </w:rPr>
      </w:pPr>
    </w:p>
    <w:sectPr w:rsidR="00B1496B" w:rsidRPr="00574B81" w:rsidSect="00574B81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574B81"/>
    <w:rsid w:val="00574B81"/>
    <w:rsid w:val="00B1496B"/>
    <w:rsid w:val="00D64436"/>
    <w:rsid w:val="00E51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74B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574B81"/>
    <w:pPr>
      <w:keepNext/>
      <w:numPr>
        <w:numId w:val="2"/>
      </w:numPr>
      <w:jc w:val="center"/>
      <w:outlineLvl w:val="0"/>
    </w:pPr>
    <w:rPr>
      <w:rFonts w:ascii="Arial" w:hAnsi="Arial"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574B81"/>
    <w:pPr>
      <w:keepNext/>
      <w:widowControl w:val="0"/>
      <w:numPr>
        <w:ilvl w:val="1"/>
        <w:numId w:val="2"/>
      </w:numPr>
      <w:spacing w:line="400" w:lineRule="exact"/>
      <w:outlineLvl w:val="1"/>
    </w:pPr>
    <w:rPr>
      <w:b/>
      <w:color w:val="FF0000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574B81"/>
    <w:rPr>
      <w:rFonts w:ascii="Arial" w:eastAsia="Times New Roman" w:hAnsi="Arial" w:cs="Times New Roman"/>
      <w:sz w:val="24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semiHidden/>
    <w:rsid w:val="00574B81"/>
    <w:rPr>
      <w:rFonts w:ascii="Times New Roman" w:eastAsia="Times New Roman" w:hAnsi="Times New Roman" w:cs="Times New Roman"/>
      <w:b/>
      <w:color w:val="FF0000"/>
      <w:sz w:val="40"/>
      <w:szCs w:val="20"/>
      <w:lang w:eastAsia="de-DE"/>
    </w:rPr>
  </w:style>
  <w:style w:type="paragraph" w:styleId="Textkrper">
    <w:name w:val="Body Text"/>
    <w:basedOn w:val="Standard"/>
    <w:link w:val="TextkrperZchn"/>
    <w:semiHidden/>
    <w:unhideWhenUsed/>
    <w:rsid w:val="00574B81"/>
    <w:pPr>
      <w:widowControl w:val="0"/>
      <w:spacing w:before="560" w:line="280" w:lineRule="exact"/>
      <w:jc w:val="both"/>
    </w:pPr>
    <w:rPr>
      <w:rFonts w:ascii="Arial" w:hAnsi="Arial"/>
      <w:sz w:val="22"/>
    </w:rPr>
  </w:style>
  <w:style w:type="character" w:customStyle="1" w:styleId="TextkrperZchn">
    <w:name w:val="Textkörper Zchn"/>
    <w:basedOn w:val="Absatz-Standardschriftart"/>
    <w:link w:val="Textkrper"/>
    <w:semiHidden/>
    <w:rsid w:val="00574B81"/>
    <w:rPr>
      <w:rFonts w:ascii="Arial" w:eastAsia="Times New Roman" w:hAnsi="Arial" w:cs="Times New Roman"/>
      <w:szCs w:val="20"/>
      <w:lang w:eastAsia="de-DE"/>
    </w:rPr>
  </w:style>
  <w:style w:type="paragraph" w:customStyle="1" w:styleId="Textkrper31">
    <w:name w:val="Textkörper 31"/>
    <w:basedOn w:val="Standard"/>
    <w:rsid w:val="00574B81"/>
    <w:pPr>
      <w:jc w:val="both"/>
    </w:pPr>
    <w:rPr>
      <w:rFonts w:ascii="Arial" w:hAnsi="Arial"/>
      <w:sz w:val="24"/>
    </w:rPr>
  </w:style>
  <w:style w:type="character" w:styleId="Hyperlink">
    <w:name w:val="Hyperlink"/>
    <w:basedOn w:val="Absatz-Standardschriftart"/>
    <w:uiPriority w:val="99"/>
    <w:semiHidden/>
    <w:unhideWhenUsed/>
    <w:rsid w:val="00574B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e.wikipedia.org/wiki/Ungarn" TargetMode="External"/><Relationship Id="rId4" Type="http://schemas.openxmlformats.org/officeDocument/2006/relationships/hyperlink" Target="http://de.wikipedia.org/wiki/Auszeichnung_%28Ehrung%29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1</cp:revision>
  <dcterms:created xsi:type="dcterms:W3CDTF">2023-03-21T19:53:00Z</dcterms:created>
  <dcterms:modified xsi:type="dcterms:W3CDTF">2023-03-21T19:55:00Z</dcterms:modified>
</cp:coreProperties>
</file>